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95" w:rsidRDefault="00702D95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690AB8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Success </w:t>
      </w:r>
      <w:r w:rsidR="00C97B20">
        <w:rPr>
          <w:rFonts w:ascii="Times New Roman" w:hAnsi="Times New Roman" w:cs="Times New Roman"/>
          <w:b/>
          <w:sz w:val="24"/>
          <w:szCs w:val="24"/>
        </w:rPr>
        <w:t>Committee</w:t>
      </w:r>
      <w:r w:rsidR="00F8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17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690AB8">
        <w:rPr>
          <w:rFonts w:ascii="Times New Roman" w:hAnsi="Times New Roman" w:cs="Times New Roman"/>
          <w:sz w:val="24"/>
          <w:szCs w:val="24"/>
        </w:rPr>
        <w:t>Thursday, March 5, 2020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690AB8">
        <w:rPr>
          <w:rFonts w:ascii="Times New Roman" w:hAnsi="Times New Roman" w:cs="Times New Roman"/>
          <w:sz w:val="24"/>
          <w:szCs w:val="24"/>
        </w:rPr>
        <w:t>2:30-4:00 p.m.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690AB8">
        <w:rPr>
          <w:rFonts w:ascii="Times New Roman" w:hAnsi="Times New Roman" w:cs="Times New Roman"/>
          <w:sz w:val="24"/>
          <w:szCs w:val="24"/>
        </w:rPr>
        <w:t>Fireside Hall</w:t>
      </w:r>
    </w:p>
    <w:p w:rsidR="00A938D7" w:rsidRDefault="00A938D7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F3227F" w:rsidRPr="003F3F98" w:rsidRDefault="00DE7517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 w:rsidR="00891C82">
        <w:rPr>
          <w:rFonts w:ascii="Times New Roman" w:hAnsi="Times New Roman" w:cs="Times New Roman"/>
          <w:b/>
          <w:sz w:val="24"/>
          <w:szCs w:val="24"/>
        </w:rPr>
        <w:tab/>
      </w:r>
      <w:r w:rsidR="00690AB8">
        <w:rPr>
          <w:rFonts w:ascii="Times New Roman" w:hAnsi="Times New Roman" w:cs="Times New Roman"/>
          <w:b/>
          <w:sz w:val="24"/>
          <w:szCs w:val="24"/>
        </w:rPr>
        <w:t>Damon A. Bell, George Mills, Dennis Franco, Rod Santos, Joel Nickelson-Shanks, Jason Berner, Katie Krolikowski, Brandy Gibson, Natasha DelAmeida, Monica Rodriguez</w:t>
      </w:r>
      <w:r w:rsidR="00AF68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0AB8">
        <w:rPr>
          <w:rFonts w:ascii="Times New Roman" w:hAnsi="Times New Roman" w:cs="Times New Roman"/>
          <w:b/>
          <w:sz w:val="24"/>
          <w:szCs w:val="24"/>
        </w:rPr>
        <w:t>Larry Womack, Vanessa Mercado, Carla Matute, Luella Waters, Leslie</w:t>
      </w:r>
      <w:r w:rsidR="00AF6869">
        <w:rPr>
          <w:rFonts w:ascii="Times New Roman" w:hAnsi="Times New Roman" w:cs="Times New Roman"/>
          <w:b/>
          <w:sz w:val="24"/>
          <w:szCs w:val="24"/>
        </w:rPr>
        <w:t xml:space="preserve"> Noriega (ST)</w:t>
      </w:r>
      <w:r w:rsidR="00690AB8">
        <w:rPr>
          <w:rFonts w:ascii="Times New Roman" w:hAnsi="Times New Roman" w:cs="Times New Roman"/>
          <w:b/>
          <w:sz w:val="24"/>
          <w:szCs w:val="24"/>
        </w:rPr>
        <w:t>, Jennifer Aguilar</w:t>
      </w:r>
      <w:r w:rsidR="00AF6869">
        <w:rPr>
          <w:rFonts w:ascii="Times New Roman" w:hAnsi="Times New Roman" w:cs="Times New Roman"/>
          <w:b/>
          <w:sz w:val="24"/>
          <w:szCs w:val="24"/>
        </w:rPr>
        <w:t xml:space="preserve"> (ST)</w:t>
      </w:r>
      <w:r w:rsidR="00690AB8">
        <w:rPr>
          <w:rFonts w:ascii="Times New Roman" w:hAnsi="Times New Roman" w:cs="Times New Roman"/>
          <w:b/>
          <w:sz w:val="24"/>
          <w:szCs w:val="24"/>
        </w:rPr>
        <w:t>, Evan Decker</w:t>
      </w:r>
      <w:r w:rsidR="00E078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67C6">
        <w:rPr>
          <w:rFonts w:ascii="Times New Roman" w:hAnsi="Times New Roman" w:cs="Times New Roman"/>
          <w:b/>
          <w:sz w:val="24"/>
          <w:szCs w:val="24"/>
        </w:rPr>
        <w:t xml:space="preserve">Nooshi Borhan, </w:t>
      </w:r>
      <w:r w:rsidR="00E56094">
        <w:rPr>
          <w:rFonts w:ascii="Times New Roman" w:hAnsi="Times New Roman" w:cs="Times New Roman"/>
          <w:b/>
          <w:sz w:val="24"/>
          <w:szCs w:val="24"/>
        </w:rPr>
        <w:t xml:space="preserve">Sherry Sharufa, </w:t>
      </w:r>
      <w:r w:rsidR="00B05B8C">
        <w:rPr>
          <w:rFonts w:ascii="Times New Roman" w:hAnsi="Times New Roman" w:cs="Times New Roman"/>
          <w:b/>
          <w:sz w:val="24"/>
          <w:szCs w:val="24"/>
        </w:rPr>
        <w:t xml:space="preserve">Shelly Rubio, </w:t>
      </w:r>
      <w:r w:rsidR="00E078A1">
        <w:rPr>
          <w:rFonts w:ascii="Times New Roman" w:hAnsi="Times New Roman" w:cs="Times New Roman"/>
          <w:b/>
          <w:sz w:val="24"/>
          <w:szCs w:val="24"/>
        </w:rPr>
        <w:t>Joy</w:t>
      </w:r>
      <w:r w:rsidR="000E0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8D7">
        <w:rPr>
          <w:rFonts w:ascii="Times New Roman" w:hAnsi="Times New Roman" w:cs="Times New Roman"/>
          <w:b/>
          <w:sz w:val="24"/>
          <w:szCs w:val="24"/>
        </w:rPr>
        <w:t xml:space="preserve">Brucelas </w:t>
      </w:r>
      <w:r w:rsidR="000E0D22">
        <w:rPr>
          <w:rFonts w:ascii="Times New Roman" w:hAnsi="Times New Roman" w:cs="Times New Roman"/>
          <w:b/>
          <w:sz w:val="24"/>
          <w:szCs w:val="24"/>
        </w:rPr>
        <w:t>(note</w:t>
      </w:r>
      <w:r w:rsidR="00A93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F4">
        <w:rPr>
          <w:rFonts w:ascii="Times New Roman" w:hAnsi="Times New Roman" w:cs="Times New Roman"/>
          <w:b/>
          <w:sz w:val="24"/>
          <w:szCs w:val="24"/>
        </w:rPr>
        <w:t>taker)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0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4323"/>
        <w:gridCol w:w="2520"/>
      </w:tblGrid>
      <w:tr w:rsidR="00F3227F" w:rsidRPr="003F3F98" w:rsidTr="00E527DF">
        <w:trPr>
          <w:trHeight w:val="395"/>
          <w:jc w:val="center"/>
        </w:trPr>
        <w:tc>
          <w:tcPr>
            <w:tcW w:w="3237" w:type="dxa"/>
          </w:tcPr>
          <w:p w:rsidR="00F3227F" w:rsidRPr="00DE7517" w:rsidRDefault="00DE7517" w:rsidP="00DE751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 w:rsidRPr="00DE7517"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Topic</w:t>
            </w:r>
          </w:p>
        </w:tc>
        <w:tc>
          <w:tcPr>
            <w:tcW w:w="4323" w:type="dxa"/>
          </w:tcPr>
          <w:p w:rsidR="00F3227F" w:rsidRPr="00DE7517" w:rsidRDefault="00EB4861" w:rsidP="00DE751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mallCaps/>
                <w:sz w:val="24"/>
                <w:szCs w:val="24"/>
              </w:rPr>
              <w:t>OUTCOMES</w:t>
            </w:r>
          </w:p>
        </w:tc>
        <w:tc>
          <w:tcPr>
            <w:tcW w:w="2520" w:type="dxa"/>
          </w:tcPr>
          <w:p w:rsidR="00F3227F" w:rsidRPr="00DE7517" w:rsidRDefault="00DE7517" w:rsidP="00DE751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="Times New Roman Bold" w:hAnsi="Times New Roman Bold" w:cs="Times New Roman"/>
                <w:b/>
                <w:smallCaps/>
                <w:color w:val="FF0000"/>
                <w:sz w:val="24"/>
                <w:szCs w:val="24"/>
              </w:rPr>
            </w:pPr>
            <w:r w:rsidRPr="00DE7517">
              <w:rPr>
                <w:rFonts w:ascii="Times New Roman Bold" w:hAnsi="Times New Roman Bold" w:cs="Times New Roman"/>
                <w:b/>
                <w:smallCaps/>
                <w:color w:val="FF0000"/>
                <w:sz w:val="24"/>
                <w:szCs w:val="24"/>
              </w:rPr>
              <w:t>Action Items</w:t>
            </w:r>
          </w:p>
        </w:tc>
      </w:tr>
      <w:tr w:rsidR="00D37603" w:rsidRPr="003F3F98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Default="00DA0D88" w:rsidP="00D37603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Introduction and overview of committee charge</w:t>
            </w:r>
          </w:p>
          <w:p w:rsidR="00E536D3" w:rsidRDefault="00E536D3" w:rsidP="00D37603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</w:p>
          <w:p w:rsidR="0032621E" w:rsidRPr="00746B9C" w:rsidRDefault="0032621E" w:rsidP="00D37603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Default="0095482D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was voted.</w:t>
            </w:r>
          </w:p>
          <w:p w:rsidR="0095482D" w:rsidRDefault="0095482D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Composition of committee discussion</w:t>
            </w:r>
          </w:p>
          <w:p w:rsidR="00E667C6" w:rsidRDefault="00E667C6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Management:</w:t>
            </w:r>
            <w:r w:rsidR="00E56094">
              <w:rPr>
                <w:rFonts w:cstheme="minorHAnsi"/>
                <w:sz w:val="24"/>
                <w:szCs w:val="24"/>
              </w:rPr>
              <w:t xml:space="preserve"> Joel, Evan (Voting)</w:t>
            </w:r>
          </w:p>
          <w:p w:rsidR="00E56094" w:rsidRDefault="00E56094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 (non-voting)</w:t>
            </w:r>
          </w:p>
          <w:p w:rsidR="00E667C6" w:rsidRDefault="00E667C6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Classified:</w:t>
            </w:r>
            <w:r w:rsidR="00E536D3">
              <w:rPr>
                <w:rFonts w:cstheme="minorHAnsi"/>
                <w:sz w:val="24"/>
                <w:szCs w:val="24"/>
              </w:rPr>
              <w:t xml:space="preserve"> Vanessa Mercado</w:t>
            </w:r>
          </w:p>
          <w:p w:rsidR="00E667C6" w:rsidRDefault="00E667C6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Faculty:</w:t>
            </w:r>
            <w:bookmarkStart w:id="0" w:name="_GoBack"/>
            <w:bookmarkEnd w:id="0"/>
          </w:p>
          <w:p w:rsidR="00E667C6" w:rsidRDefault="00E667C6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Student:</w:t>
            </w:r>
            <w:r w:rsidR="00A938D7">
              <w:rPr>
                <w:rFonts w:cstheme="minorHAnsi"/>
                <w:sz w:val="24"/>
                <w:szCs w:val="24"/>
              </w:rPr>
              <w:t xml:space="preserve"> Leslie Noriega, Jennifer Aguilar</w:t>
            </w:r>
          </w:p>
          <w:p w:rsidR="0032621E" w:rsidRDefault="0032621E" w:rsidP="0032621E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 Voting (each constituency group)</w:t>
            </w:r>
          </w:p>
          <w:p w:rsidR="0032621E" w:rsidRPr="00746B9C" w:rsidRDefault="0032621E" w:rsidP="0032621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Chair / Multiple chairs are better / 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120F8" w:rsidRPr="00746B9C" w:rsidRDefault="003120F8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37603" w:rsidRPr="003F3F98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746B9C" w:rsidRDefault="0032621E" w:rsidP="00D37603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Commitment of chairs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Default="0032621E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 w:rsidRPr="0032621E">
              <w:rPr>
                <w:rFonts w:cstheme="minorHAnsi"/>
                <w:sz w:val="24"/>
                <w:szCs w:val="24"/>
              </w:rPr>
              <w:t xml:space="preserve">Student would </w:t>
            </w:r>
            <w:r w:rsidR="00AF6869">
              <w:rPr>
                <w:rFonts w:cstheme="minorHAnsi"/>
                <w:sz w:val="24"/>
                <w:szCs w:val="24"/>
              </w:rPr>
              <w:t>like to share in 2 chairs (i.e.</w:t>
            </w:r>
            <w:r w:rsidRPr="0032621E">
              <w:rPr>
                <w:rFonts w:cstheme="minorHAnsi"/>
                <w:sz w:val="24"/>
                <w:szCs w:val="24"/>
              </w:rPr>
              <w:t xml:space="preserve"> Management/Student)</w:t>
            </w:r>
            <w:r w:rsidR="00AB3A19">
              <w:rPr>
                <w:rFonts w:cstheme="minorHAnsi"/>
                <w:sz w:val="24"/>
                <w:szCs w:val="24"/>
              </w:rPr>
              <w:t xml:space="preserve"> Or Permanent Student Chair (and rotation of constituency groups).</w:t>
            </w:r>
          </w:p>
          <w:p w:rsidR="00DC4EBB" w:rsidRDefault="00DC4EBB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Who would be support for notetaking when students are chairing the meeting? </w:t>
            </w:r>
          </w:p>
          <w:p w:rsidR="00DC4EBB" w:rsidRDefault="00DC4EBB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Maybe Vote for note taker and backups.</w:t>
            </w:r>
          </w:p>
          <w:p w:rsidR="00802ED4" w:rsidRDefault="00802ED4" w:rsidP="00802ED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Motion: Katie motioned that a student chair every year and rotation of 2</w:t>
            </w:r>
            <w:r w:rsidRPr="00802ED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chair from other constituency groups. Second by Dr. Bell—Unanimously approved!</w:t>
            </w:r>
          </w:p>
          <w:p w:rsidR="00802ED4" w:rsidRDefault="00802ED4" w:rsidP="00802ED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Motion to move structure for 2019-2020; and will continue to 2020-2021.</w:t>
            </w:r>
          </w:p>
          <w:p w:rsidR="00802ED4" w:rsidRPr="0032621E" w:rsidRDefault="00802ED4" w:rsidP="00802ED4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Rotation Schedule: Management (2020-2021), Faculty (2021-2022), Classified (2022-2023) – Motion by Evan, Second by George, -- Unanimously approved!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746B9C" w:rsidRDefault="00D37603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37603" w:rsidRPr="008F2FE6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8F2FE6" w:rsidRDefault="00616BC5" w:rsidP="00D37603">
            <w:pPr>
              <w:pStyle w:val="TableParagraph"/>
              <w:spacing w:before="68"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schedule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960C23" w:rsidRDefault="00616BC5" w:rsidP="00616BC5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16BC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Thursday, 2:30-4:00 p.m., May 7, 2020 (No meeting in April—Spring Break).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624" w:rsidRPr="008F2FE6" w:rsidRDefault="00ED4624" w:rsidP="000F104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36C0" w:rsidRPr="000E0D22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36C0" w:rsidRPr="000E0D22" w:rsidRDefault="00616BC5" w:rsidP="00BC36C0">
            <w:pPr>
              <w:pStyle w:val="TableParagraph"/>
              <w:spacing w:before="68"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Expectations of group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27A87" w:rsidRDefault="006960B6" w:rsidP="001B1CF0">
            <w:pPr>
              <w:widowControl w:val="0"/>
            </w:pPr>
            <w:r>
              <w:t>SLO/ALO, Professional Development and Guided Pathways Committees report to Student Success Committee</w:t>
            </w:r>
          </w:p>
          <w:p w:rsidR="004D6B08" w:rsidRPr="00C723D3" w:rsidRDefault="004D6B08" w:rsidP="001B1CF0">
            <w:pPr>
              <w:widowControl w:val="0"/>
            </w:pPr>
            <w:r>
              <w:t>Discussion and feedback from list of Purpose and Scope (i.e. #2).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C36C0" w:rsidRPr="000E0D22" w:rsidRDefault="00BC36C0" w:rsidP="00BC36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8C66DB" w:rsidRPr="000E0D22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C66DB" w:rsidRPr="000E0D22" w:rsidRDefault="006960B6" w:rsidP="00BC3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Constituency approval of membership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C4E41" w:rsidRDefault="006960B6" w:rsidP="006C4E41">
            <w:pPr>
              <w:widowControl w:val="0"/>
            </w:pPr>
            <w:r>
              <w:t>Classified</w:t>
            </w:r>
            <w:r w:rsidR="00095E97">
              <w:t xml:space="preserve">: </w:t>
            </w:r>
            <w:r>
              <w:t>ask Brandy about summary of timeline.</w:t>
            </w:r>
          </w:p>
          <w:p w:rsidR="006960B6" w:rsidRDefault="006960B6" w:rsidP="006C4E41">
            <w:pPr>
              <w:widowControl w:val="0"/>
            </w:pPr>
            <w:r>
              <w:t>Faculty</w:t>
            </w:r>
            <w:r w:rsidR="00095E97">
              <w:t>:</w:t>
            </w:r>
          </w:p>
          <w:p w:rsidR="00095E97" w:rsidRDefault="00095E97" w:rsidP="006C4E41">
            <w:pPr>
              <w:widowControl w:val="0"/>
            </w:pPr>
            <w:r>
              <w:t>Student: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069" w:rsidRPr="000E0D22" w:rsidRDefault="002F6069" w:rsidP="00BC36C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F6069" w:rsidRPr="00746B9C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069" w:rsidRPr="00746B9C" w:rsidRDefault="007F475C" w:rsidP="002F6069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Funding for Student Success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069" w:rsidRDefault="007F475C" w:rsidP="001071D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Equity</w:t>
            </w:r>
            <w:r w:rsidR="00021431">
              <w:rPr>
                <w:rFonts w:cstheme="minorHAnsi"/>
                <w:sz w:val="24"/>
                <w:szCs w:val="24"/>
              </w:rPr>
              <w:t>, Resources/Plans should be tied to the work we do</w:t>
            </w:r>
          </w:p>
          <w:p w:rsidR="00836EE7" w:rsidRDefault="00836EE7" w:rsidP="001071D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we become student ready as a college?</w:t>
            </w:r>
          </w:p>
          <w:p w:rsidR="002B2C18" w:rsidRPr="006A6EFC" w:rsidRDefault="002B2C18" w:rsidP="001071DC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Quarterly meeting with chairs of all committees.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F6069" w:rsidRPr="00746B9C" w:rsidRDefault="002F6069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FC49F5" w:rsidRPr="00746B9C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49F5" w:rsidRDefault="00945887" w:rsidP="000C252F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Training for new chairs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49F5" w:rsidRDefault="00116766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During flex, have an expert to spend time with new chairs and/or new members.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C49F5" w:rsidRPr="00746B9C" w:rsidRDefault="00FC49F5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05B8C" w:rsidRPr="00746B9C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5B8C" w:rsidRPr="00746B9C" w:rsidRDefault="00B05B8C" w:rsidP="000C252F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Student Housing (example)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5B8C" w:rsidRDefault="00B05B8C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does student housing improve student success?</w:t>
            </w:r>
          </w:p>
          <w:p w:rsidR="00B05B8C" w:rsidRDefault="00B05B8C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we define student success?</w:t>
            </w:r>
          </w:p>
          <w:p w:rsidR="00B05B8C" w:rsidRDefault="00B05B8C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</w:t>
            </w:r>
            <w:r w:rsidR="00E15CFF">
              <w:rPr>
                <w:rFonts w:cstheme="minorHAnsi"/>
                <w:sz w:val="24"/>
                <w:szCs w:val="24"/>
              </w:rPr>
              <w:t xml:space="preserve"> is also another concern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05B8C" w:rsidRPr="00746B9C" w:rsidRDefault="00B05B8C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37603" w:rsidRPr="00746B9C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746B9C" w:rsidRDefault="00D37603" w:rsidP="000C252F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 w:rsidRPr="00746B9C">
              <w:rPr>
                <w:rFonts w:cstheme="minorHAnsi"/>
                <w:sz w:val="24"/>
              </w:rPr>
              <w:t xml:space="preserve">Next Meeting: 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746B9C" w:rsidRDefault="000C252F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7, 2020, 1</w:t>
            </w:r>
            <w:r w:rsidRPr="000C252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Thursday of May, 2:30-4:00 p.m.</w:t>
            </w:r>
            <w:r w:rsidR="00793C2F">
              <w:rPr>
                <w:rFonts w:cstheme="minorHAnsi"/>
                <w:sz w:val="24"/>
                <w:szCs w:val="24"/>
              </w:rPr>
              <w:t>, TBD</w:t>
            </w: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37603" w:rsidRPr="00746B9C" w:rsidRDefault="00AA699D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Finale membership for next year; an email will go out to the campus with a proposed agenda items</w:t>
            </w:r>
          </w:p>
        </w:tc>
      </w:tr>
      <w:tr w:rsidR="00F5609C" w:rsidRPr="00746B9C" w:rsidTr="00E527DF">
        <w:trPr>
          <w:trHeight w:val="557"/>
          <w:jc w:val="center"/>
        </w:trPr>
        <w:tc>
          <w:tcPr>
            <w:tcW w:w="323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5609C" w:rsidRPr="00746B9C" w:rsidRDefault="00F5609C" w:rsidP="000C252F">
            <w:pPr>
              <w:pStyle w:val="TableParagraph"/>
              <w:spacing w:before="68" w:line="274" w:lineRule="exac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Meeting adjourned at 3:44 p.m.</w:t>
            </w:r>
          </w:p>
        </w:tc>
        <w:tc>
          <w:tcPr>
            <w:tcW w:w="43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5609C" w:rsidRDefault="00F5609C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5609C" w:rsidRDefault="00F5609C" w:rsidP="00D3760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23197F" w:rsidRDefault="0023197F" w:rsidP="00DA0D88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23197F" w:rsidSect="00702D95">
      <w:footerReference w:type="default" r:id="rId8"/>
      <w:pgSz w:w="12240" w:h="15840" w:code="1"/>
      <w:pgMar w:top="630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1A" w:rsidRDefault="00C35B1A" w:rsidP="00E94722">
      <w:pPr>
        <w:spacing w:after="0" w:line="240" w:lineRule="auto"/>
      </w:pPr>
      <w:r>
        <w:separator/>
      </w:r>
    </w:p>
  </w:endnote>
  <w:endnote w:type="continuationSeparator" w:id="0">
    <w:p w:rsidR="00C35B1A" w:rsidRDefault="00C35B1A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EF" w:rsidRPr="00702D95" w:rsidRDefault="00702D95">
    <w:pPr>
      <w:pStyle w:val="Footer"/>
      <w:rPr>
        <w:rFonts w:ascii="Times New Roman" w:hAnsi="Times New Roman" w:cs="Times New Roman"/>
        <w:i/>
      </w:rPr>
    </w:pPr>
    <w:r w:rsidRPr="00702D95">
      <w:rPr>
        <w:rFonts w:ascii="Times New Roman" w:hAnsi="Times New Roman" w:cs="Times New Roman"/>
        <w:i/>
      </w:rPr>
      <w:t>President’s Cabinet Minutes</w:t>
    </w:r>
    <w:r w:rsidRPr="00702D95">
      <w:rPr>
        <w:rFonts w:ascii="Times New Roman" w:hAnsi="Times New Roman" w:cs="Times New Roman"/>
        <w:i/>
      </w:rPr>
      <w:ptab w:relativeTo="margin" w:alignment="center" w:leader="none"/>
    </w:r>
    <w:r w:rsidR="00C1791A">
      <w:rPr>
        <w:rFonts w:ascii="Times New Roman" w:hAnsi="Times New Roman" w:cs="Times New Roman"/>
        <w:i/>
      </w:rPr>
      <w:t>October 4, 2019</w:t>
    </w:r>
    <w:r w:rsidRPr="00702D95">
      <w:rPr>
        <w:rFonts w:ascii="Times New Roman" w:hAnsi="Times New Roman" w:cs="Times New Roman"/>
        <w:i/>
      </w:rPr>
      <w:t xml:space="preserve"> | </w:t>
    </w:r>
    <w:r w:rsidRPr="00702D95">
      <w:rPr>
        <w:rFonts w:ascii="Times New Roman" w:hAnsi="Times New Roman" w:cs="Times New Roman"/>
        <w:i/>
      </w:rPr>
      <w:fldChar w:fldCharType="begin"/>
    </w:r>
    <w:r w:rsidRPr="00702D95">
      <w:rPr>
        <w:rFonts w:ascii="Times New Roman" w:hAnsi="Times New Roman" w:cs="Times New Roman"/>
        <w:i/>
      </w:rPr>
      <w:instrText xml:space="preserve"> PAGE   \* MERGEFORMAT </w:instrText>
    </w:r>
    <w:r w:rsidRPr="00702D95">
      <w:rPr>
        <w:rFonts w:ascii="Times New Roman" w:hAnsi="Times New Roman" w:cs="Times New Roman"/>
        <w:i/>
      </w:rPr>
      <w:fldChar w:fldCharType="separate"/>
    </w:r>
    <w:r w:rsidR="00A938D7" w:rsidRPr="00A938D7">
      <w:rPr>
        <w:rFonts w:ascii="Times New Roman" w:hAnsi="Times New Roman" w:cs="Times New Roman"/>
        <w:b/>
        <w:bCs/>
        <w:i/>
        <w:noProof/>
      </w:rPr>
      <w:t>2</w:t>
    </w:r>
    <w:r w:rsidRPr="00702D95">
      <w:rPr>
        <w:rFonts w:ascii="Times New Roman" w:hAnsi="Times New Roman" w:cs="Times New Roman"/>
        <w:b/>
        <w:bCs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1A" w:rsidRDefault="00C35B1A" w:rsidP="00E94722">
      <w:pPr>
        <w:spacing w:after="0" w:line="240" w:lineRule="auto"/>
      </w:pPr>
      <w:r>
        <w:separator/>
      </w:r>
    </w:p>
  </w:footnote>
  <w:footnote w:type="continuationSeparator" w:id="0">
    <w:p w:rsidR="00C35B1A" w:rsidRDefault="00C35B1A" w:rsidP="00E9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F2"/>
    <w:multiLevelType w:val="hybridMultilevel"/>
    <w:tmpl w:val="0A72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A01CF"/>
    <w:multiLevelType w:val="hybridMultilevel"/>
    <w:tmpl w:val="2C5C1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6060E"/>
    <w:multiLevelType w:val="hybridMultilevel"/>
    <w:tmpl w:val="F82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9C3"/>
    <w:multiLevelType w:val="multilevel"/>
    <w:tmpl w:val="12C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B168D"/>
    <w:multiLevelType w:val="hybridMultilevel"/>
    <w:tmpl w:val="FAA0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91"/>
    <w:multiLevelType w:val="hybridMultilevel"/>
    <w:tmpl w:val="DFA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E4A55"/>
    <w:multiLevelType w:val="hybridMultilevel"/>
    <w:tmpl w:val="AB7EA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C034A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BC53A9E"/>
    <w:multiLevelType w:val="hybridMultilevel"/>
    <w:tmpl w:val="1ABA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42979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7433173B"/>
    <w:multiLevelType w:val="hybridMultilevel"/>
    <w:tmpl w:val="CB9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06F06"/>
    <w:rsid w:val="00021431"/>
    <w:rsid w:val="000234A9"/>
    <w:rsid w:val="00027B32"/>
    <w:rsid w:val="00030DEE"/>
    <w:rsid w:val="00037CC8"/>
    <w:rsid w:val="0004626F"/>
    <w:rsid w:val="00052D10"/>
    <w:rsid w:val="00057E5B"/>
    <w:rsid w:val="00060EED"/>
    <w:rsid w:val="000678FD"/>
    <w:rsid w:val="000717E1"/>
    <w:rsid w:val="000739A4"/>
    <w:rsid w:val="000863D8"/>
    <w:rsid w:val="00090408"/>
    <w:rsid w:val="00095E97"/>
    <w:rsid w:val="000972DB"/>
    <w:rsid w:val="000A5812"/>
    <w:rsid w:val="000C252F"/>
    <w:rsid w:val="000C7DCA"/>
    <w:rsid w:val="000D2FA6"/>
    <w:rsid w:val="000D7A59"/>
    <w:rsid w:val="000D7FC3"/>
    <w:rsid w:val="000E0D22"/>
    <w:rsid w:val="000E5348"/>
    <w:rsid w:val="000F1049"/>
    <w:rsid w:val="000F3651"/>
    <w:rsid w:val="000F57A6"/>
    <w:rsid w:val="000F7EF5"/>
    <w:rsid w:val="001071DC"/>
    <w:rsid w:val="001071F5"/>
    <w:rsid w:val="001122E6"/>
    <w:rsid w:val="0011575B"/>
    <w:rsid w:val="00116766"/>
    <w:rsid w:val="00117019"/>
    <w:rsid w:val="00130780"/>
    <w:rsid w:val="00137B84"/>
    <w:rsid w:val="001509BC"/>
    <w:rsid w:val="00154B33"/>
    <w:rsid w:val="0016398C"/>
    <w:rsid w:val="00165704"/>
    <w:rsid w:val="001712A0"/>
    <w:rsid w:val="00175A29"/>
    <w:rsid w:val="00180E18"/>
    <w:rsid w:val="00186EDF"/>
    <w:rsid w:val="001929E5"/>
    <w:rsid w:val="00192E38"/>
    <w:rsid w:val="001A417A"/>
    <w:rsid w:val="001B0208"/>
    <w:rsid w:val="001B06F1"/>
    <w:rsid w:val="001B0CBE"/>
    <w:rsid w:val="001B1CF0"/>
    <w:rsid w:val="001C05FF"/>
    <w:rsid w:val="001C1FAB"/>
    <w:rsid w:val="001C6E97"/>
    <w:rsid w:val="001D5D53"/>
    <w:rsid w:val="00222009"/>
    <w:rsid w:val="00230C64"/>
    <w:rsid w:val="00231509"/>
    <w:rsid w:val="0023197F"/>
    <w:rsid w:val="00231DA9"/>
    <w:rsid w:val="00235795"/>
    <w:rsid w:val="002425CB"/>
    <w:rsid w:val="002431D7"/>
    <w:rsid w:val="0024493D"/>
    <w:rsid w:val="002513B4"/>
    <w:rsid w:val="002718EC"/>
    <w:rsid w:val="00276C9D"/>
    <w:rsid w:val="002B0A6F"/>
    <w:rsid w:val="002B2C18"/>
    <w:rsid w:val="002B4645"/>
    <w:rsid w:val="002C763F"/>
    <w:rsid w:val="002D15E7"/>
    <w:rsid w:val="002E0B35"/>
    <w:rsid w:val="002F6069"/>
    <w:rsid w:val="00304AE8"/>
    <w:rsid w:val="0031000B"/>
    <w:rsid w:val="003120F8"/>
    <w:rsid w:val="00317466"/>
    <w:rsid w:val="003218E9"/>
    <w:rsid w:val="003251A8"/>
    <w:rsid w:val="0032621E"/>
    <w:rsid w:val="00327533"/>
    <w:rsid w:val="003326FC"/>
    <w:rsid w:val="0033524C"/>
    <w:rsid w:val="003433DC"/>
    <w:rsid w:val="00351411"/>
    <w:rsid w:val="003563CA"/>
    <w:rsid w:val="00361D9D"/>
    <w:rsid w:val="003631F6"/>
    <w:rsid w:val="003666C7"/>
    <w:rsid w:val="003670B1"/>
    <w:rsid w:val="003701C0"/>
    <w:rsid w:val="0038354B"/>
    <w:rsid w:val="003943A1"/>
    <w:rsid w:val="00397D29"/>
    <w:rsid w:val="003A7B46"/>
    <w:rsid w:val="003B55CD"/>
    <w:rsid w:val="003C285D"/>
    <w:rsid w:val="003E2637"/>
    <w:rsid w:val="003F1870"/>
    <w:rsid w:val="003F3F98"/>
    <w:rsid w:val="0041773E"/>
    <w:rsid w:val="00420394"/>
    <w:rsid w:val="004238AD"/>
    <w:rsid w:val="00437CC4"/>
    <w:rsid w:val="00445859"/>
    <w:rsid w:val="004524DE"/>
    <w:rsid w:val="00453735"/>
    <w:rsid w:val="00455089"/>
    <w:rsid w:val="004567EA"/>
    <w:rsid w:val="0046355E"/>
    <w:rsid w:val="00467300"/>
    <w:rsid w:val="00471079"/>
    <w:rsid w:val="00473083"/>
    <w:rsid w:val="00485EA4"/>
    <w:rsid w:val="004A2A75"/>
    <w:rsid w:val="004A4FB0"/>
    <w:rsid w:val="004B4A8C"/>
    <w:rsid w:val="004B7F27"/>
    <w:rsid w:val="004D32DD"/>
    <w:rsid w:val="004D6B08"/>
    <w:rsid w:val="004F35C0"/>
    <w:rsid w:val="00502332"/>
    <w:rsid w:val="005168DA"/>
    <w:rsid w:val="005221B5"/>
    <w:rsid w:val="00526499"/>
    <w:rsid w:val="00533EFE"/>
    <w:rsid w:val="00537214"/>
    <w:rsid w:val="00540823"/>
    <w:rsid w:val="005531B5"/>
    <w:rsid w:val="00556F2A"/>
    <w:rsid w:val="005639F5"/>
    <w:rsid w:val="005835F4"/>
    <w:rsid w:val="00590095"/>
    <w:rsid w:val="00591F3D"/>
    <w:rsid w:val="00597ADF"/>
    <w:rsid w:val="005A2F9A"/>
    <w:rsid w:val="005A6B42"/>
    <w:rsid w:val="005B0779"/>
    <w:rsid w:val="005B1528"/>
    <w:rsid w:val="005B207F"/>
    <w:rsid w:val="005B6F62"/>
    <w:rsid w:val="005C6FCF"/>
    <w:rsid w:val="005E695B"/>
    <w:rsid w:val="006116E3"/>
    <w:rsid w:val="0061394A"/>
    <w:rsid w:val="00616BC5"/>
    <w:rsid w:val="006309D0"/>
    <w:rsid w:val="006356C8"/>
    <w:rsid w:val="006501CB"/>
    <w:rsid w:val="00653F5F"/>
    <w:rsid w:val="00663A9B"/>
    <w:rsid w:val="00664576"/>
    <w:rsid w:val="006842CA"/>
    <w:rsid w:val="006870AA"/>
    <w:rsid w:val="0069060E"/>
    <w:rsid w:val="00690A01"/>
    <w:rsid w:val="00690AB8"/>
    <w:rsid w:val="006960B6"/>
    <w:rsid w:val="006A4764"/>
    <w:rsid w:val="006A6EFC"/>
    <w:rsid w:val="006A7B4C"/>
    <w:rsid w:val="006A7F48"/>
    <w:rsid w:val="006C4E41"/>
    <w:rsid w:val="006C7206"/>
    <w:rsid w:val="006D3053"/>
    <w:rsid w:val="006D4F0F"/>
    <w:rsid w:val="006E735E"/>
    <w:rsid w:val="006F0DDD"/>
    <w:rsid w:val="00702D95"/>
    <w:rsid w:val="00707E39"/>
    <w:rsid w:val="00712891"/>
    <w:rsid w:val="00715C4F"/>
    <w:rsid w:val="007177D5"/>
    <w:rsid w:val="00723B63"/>
    <w:rsid w:val="007247D9"/>
    <w:rsid w:val="00731802"/>
    <w:rsid w:val="007320C9"/>
    <w:rsid w:val="00741C0F"/>
    <w:rsid w:val="007438B6"/>
    <w:rsid w:val="00746B9C"/>
    <w:rsid w:val="00755F12"/>
    <w:rsid w:val="00761455"/>
    <w:rsid w:val="00764FC0"/>
    <w:rsid w:val="00765584"/>
    <w:rsid w:val="0077356A"/>
    <w:rsid w:val="00791DA1"/>
    <w:rsid w:val="00793C2F"/>
    <w:rsid w:val="0079541B"/>
    <w:rsid w:val="007A5542"/>
    <w:rsid w:val="007B3574"/>
    <w:rsid w:val="007B57BE"/>
    <w:rsid w:val="007E5AAB"/>
    <w:rsid w:val="007E6A56"/>
    <w:rsid w:val="007F0A02"/>
    <w:rsid w:val="007F3815"/>
    <w:rsid w:val="007F3B8F"/>
    <w:rsid w:val="007F475C"/>
    <w:rsid w:val="00800F15"/>
    <w:rsid w:val="00802ED4"/>
    <w:rsid w:val="00803FF5"/>
    <w:rsid w:val="008179B8"/>
    <w:rsid w:val="00834B10"/>
    <w:rsid w:val="00836EE7"/>
    <w:rsid w:val="00853206"/>
    <w:rsid w:val="0086073B"/>
    <w:rsid w:val="0086170C"/>
    <w:rsid w:val="008652BA"/>
    <w:rsid w:val="00871873"/>
    <w:rsid w:val="00891C82"/>
    <w:rsid w:val="008B265F"/>
    <w:rsid w:val="008C2AB5"/>
    <w:rsid w:val="008C66DB"/>
    <w:rsid w:val="008E56FE"/>
    <w:rsid w:val="008F2FE6"/>
    <w:rsid w:val="0090131E"/>
    <w:rsid w:val="009204B2"/>
    <w:rsid w:val="0093129C"/>
    <w:rsid w:val="00945887"/>
    <w:rsid w:val="00953D11"/>
    <w:rsid w:val="0095482D"/>
    <w:rsid w:val="00960C23"/>
    <w:rsid w:val="00961568"/>
    <w:rsid w:val="0096166D"/>
    <w:rsid w:val="009673AF"/>
    <w:rsid w:val="009718D1"/>
    <w:rsid w:val="0098026C"/>
    <w:rsid w:val="009A59B0"/>
    <w:rsid w:val="009C45F1"/>
    <w:rsid w:val="009E6ABD"/>
    <w:rsid w:val="009F51FB"/>
    <w:rsid w:val="009F5DCB"/>
    <w:rsid w:val="009F7034"/>
    <w:rsid w:val="00A24708"/>
    <w:rsid w:val="00A319A4"/>
    <w:rsid w:val="00A31EC6"/>
    <w:rsid w:val="00A327DF"/>
    <w:rsid w:val="00A35040"/>
    <w:rsid w:val="00A36ABF"/>
    <w:rsid w:val="00A40112"/>
    <w:rsid w:val="00A64259"/>
    <w:rsid w:val="00A643BD"/>
    <w:rsid w:val="00A65E2D"/>
    <w:rsid w:val="00A75758"/>
    <w:rsid w:val="00A813FA"/>
    <w:rsid w:val="00A81C53"/>
    <w:rsid w:val="00A925DC"/>
    <w:rsid w:val="00A938D7"/>
    <w:rsid w:val="00A952D0"/>
    <w:rsid w:val="00AA3220"/>
    <w:rsid w:val="00AA699D"/>
    <w:rsid w:val="00AB2C01"/>
    <w:rsid w:val="00AB3A19"/>
    <w:rsid w:val="00AC2B1B"/>
    <w:rsid w:val="00AC6EBF"/>
    <w:rsid w:val="00AD262C"/>
    <w:rsid w:val="00AD415F"/>
    <w:rsid w:val="00AD4F3E"/>
    <w:rsid w:val="00AD61F6"/>
    <w:rsid w:val="00AF6869"/>
    <w:rsid w:val="00B05B8C"/>
    <w:rsid w:val="00B203E0"/>
    <w:rsid w:val="00B332A0"/>
    <w:rsid w:val="00B45C5C"/>
    <w:rsid w:val="00B512BC"/>
    <w:rsid w:val="00B74858"/>
    <w:rsid w:val="00B756CF"/>
    <w:rsid w:val="00B969B4"/>
    <w:rsid w:val="00BB4335"/>
    <w:rsid w:val="00BC1993"/>
    <w:rsid w:val="00BC36C0"/>
    <w:rsid w:val="00BD007B"/>
    <w:rsid w:val="00BD5B29"/>
    <w:rsid w:val="00BD7C75"/>
    <w:rsid w:val="00BE344F"/>
    <w:rsid w:val="00BF2DCA"/>
    <w:rsid w:val="00BF76E8"/>
    <w:rsid w:val="00C02470"/>
    <w:rsid w:val="00C0411A"/>
    <w:rsid w:val="00C1791A"/>
    <w:rsid w:val="00C17A82"/>
    <w:rsid w:val="00C251FB"/>
    <w:rsid w:val="00C27A87"/>
    <w:rsid w:val="00C3150C"/>
    <w:rsid w:val="00C3468F"/>
    <w:rsid w:val="00C34F61"/>
    <w:rsid w:val="00C35B1A"/>
    <w:rsid w:val="00C43896"/>
    <w:rsid w:val="00C51276"/>
    <w:rsid w:val="00C52C1A"/>
    <w:rsid w:val="00C52FCE"/>
    <w:rsid w:val="00C6203F"/>
    <w:rsid w:val="00C62B7E"/>
    <w:rsid w:val="00C63F4E"/>
    <w:rsid w:val="00C70761"/>
    <w:rsid w:val="00C762E7"/>
    <w:rsid w:val="00C848EF"/>
    <w:rsid w:val="00C85C56"/>
    <w:rsid w:val="00C9011E"/>
    <w:rsid w:val="00C95FEE"/>
    <w:rsid w:val="00C97B20"/>
    <w:rsid w:val="00CA2F29"/>
    <w:rsid w:val="00CA584D"/>
    <w:rsid w:val="00CC265A"/>
    <w:rsid w:val="00CD023C"/>
    <w:rsid w:val="00CD0A50"/>
    <w:rsid w:val="00CE51E6"/>
    <w:rsid w:val="00CE5DC0"/>
    <w:rsid w:val="00CF4CA8"/>
    <w:rsid w:val="00D02E9A"/>
    <w:rsid w:val="00D1533E"/>
    <w:rsid w:val="00D26191"/>
    <w:rsid w:val="00D27D9D"/>
    <w:rsid w:val="00D37603"/>
    <w:rsid w:val="00D401B2"/>
    <w:rsid w:val="00D40DD7"/>
    <w:rsid w:val="00D43FCE"/>
    <w:rsid w:val="00D45A31"/>
    <w:rsid w:val="00D46960"/>
    <w:rsid w:val="00D51D1D"/>
    <w:rsid w:val="00D52ECA"/>
    <w:rsid w:val="00D640CC"/>
    <w:rsid w:val="00D66B0F"/>
    <w:rsid w:val="00D677B2"/>
    <w:rsid w:val="00D7352C"/>
    <w:rsid w:val="00D752CE"/>
    <w:rsid w:val="00D769D4"/>
    <w:rsid w:val="00D76D2F"/>
    <w:rsid w:val="00D775BA"/>
    <w:rsid w:val="00D81135"/>
    <w:rsid w:val="00D9491C"/>
    <w:rsid w:val="00D969D7"/>
    <w:rsid w:val="00DA0D88"/>
    <w:rsid w:val="00DA7887"/>
    <w:rsid w:val="00DB0952"/>
    <w:rsid w:val="00DB27BF"/>
    <w:rsid w:val="00DC4EBB"/>
    <w:rsid w:val="00DE08BF"/>
    <w:rsid w:val="00DE7517"/>
    <w:rsid w:val="00DF1DFA"/>
    <w:rsid w:val="00DF3BF4"/>
    <w:rsid w:val="00E02DEE"/>
    <w:rsid w:val="00E05B3B"/>
    <w:rsid w:val="00E078A1"/>
    <w:rsid w:val="00E15CFF"/>
    <w:rsid w:val="00E350F3"/>
    <w:rsid w:val="00E37FF7"/>
    <w:rsid w:val="00E527DF"/>
    <w:rsid w:val="00E536D3"/>
    <w:rsid w:val="00E56094"/>
    <w:rsid w:val="00E667C6"/>
    <w:rsid w:val="00E6759A"/>
    <w:rsid w:val="00E726EF"/>
    <w:rsid w:val="00E744A7"/>
    <w:rsid w:val="00E748DF"/>
    <w:rsid w:val="00E75B17"/>
    <w:rsid w:val="00E760C8"/>
    <w:rsid w:val="00E84FD8"/>
    <w:rsid w:val="00E91B04"/>
    <w:rsid w:val="00E94722"/>
    <w:rsid w:val="00EB19CB"/>
    <w:rsid w:val="00EB4861"/>
    <w:rsid w:val="00EB6C96"/>
    <w:rsid w:val="00EC093C"/>
    <w:rsid w:val="00EC4F07"/>
    <w:rsid w:val="00ED4624"/>
    <w:rsid w:val="00ED5313"/>
    <w:rsid w:val="00EE0960"/>
    <w:rsid w:val="00EE51FE"/>
    <w:rsid w:val="00EF2880"/>
    <w:rsid w:val="00F027DD"/>
    <w:rsid w:val="00F02F39"/>
    <w:rsid w:val="00F177C3"/>
    <w:rsid w:val="00F3112E"/>
    <w:rsid w:val="00F3227F"/>
    <w:rsid w:val="00F34965"/>
    <w:rsid w:val="00F436DB"/>
    <w:rsid w:val="00F44AA4"/>
    <w:rsid w:val="00F505EC"/>
    <w:rsid w:val="00F50E94"/>
    <w:rsid w:val="00F5609C"/>
    <w:rsid w:val="00F637A8"/>
    <w:rsid w:val="00F66D72"/>
    <w:rsid w:val="00F76464"/>
    <w:rsid w:val="00F80724"/>
    <w:rsid w:val="00F83283"/>
    <w:rsid w:val="00F85791"/>
    <w:rsid w:val="00F87C8F"/>
    <w:rsid w:val="00F9043B"/>
    <w:rsid w:val="00FA4E99"/>
    <w:rsid w:val="00FA5260"/>
    <w:rsid w:val="00FB1AA7"/>
    <w:rsid w:val="00FB43BA"/>
    <w:rsid w:val="00FC49F5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A9CF3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B4861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7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85276-0F33-434B-8781-3E37F77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Brucelas, Jocelyn</cp:lastModifiedBy>
  <cp:revision>2</cp:revision>
  <cp:lastPrinted>2016-10-10T17:40:00Z</cp:lastPrinted>
  <dcterms:created xsi:type="dcterms:W3CDTF">2020-04-10T23:19:00Z</dcterms:created>
  <dcterms:modified xsi:type="dcterms:W3CDTF">2020-04-10T23:19:00Z</dcterms:modified>
</cp:coreProperties>
</file>